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17AC" w14:textId="77777777" w:rsidR="00111883" w:rsidRPr="00637A64" w:rsidRDefault="00111883" w:rsidP="00637A64">
      <w:pPr>
        <w:jc w:val="center"/>
        <w:rPr>
          <w:b/>
          <w:sz w:val="36"/>
        </w:rPr>
      </w:pPr>
      <w:r w:rsidRPr="00637A64">
        <w:rPr>
          <w:b/>
          <w:sz w:val="36"/>
        </w:rPr>
        <w:t>Může zaměstnanec na lékařskou prohlídku ke svému lékaři?</w:t>
      </w:r>
    </w:p>
    <w:p w14:paraId="5030E59A" w14:textId="77777777" w:rsidR="00637A64" w:rsidRDefault="00637A64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</w:p>
    <w:p w14:paraId="74DF5209" w14:textId="5DCA65E4" w:rsidR="009A7627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r w:rsidRPr="00637A64">
        <w:rPr>
          <w:rFonts w:ascii="&amp;quot" w:hAnsi="&amp;quot"/>
          <w:color w:val="666666"/>
          <w:sz w:val="26"/>
        </w:rPr>
        <w:t>Ne vždy je nutné, abyste zaměstnance vyslali na pracovnělékařskou prohlídku k</w:t>
      </w:r>
      <w:r w:rsidR="00637A64">
        <w:rPr>
          <w:rFonts w:ascii="&amp;quot" w:hAnsi="&amp;quot" w:hint="eastAsia"/>
          <w:color w:val="666666"/>
          <w:sz w:val="26"/>
        </w:rPr>
        <w:t> </w:t>
      </w:r>
      <w:r w:rsidRPr="00637A64">
        <w:rPr>
          <w:rFonts w:ascii="&amp;quot" w:hAnsi="&amp;quot"/>
          <w:color w:val="666666"/>
          <w:sz w:val="26"/>
        </w:rPr>
        <w:t xml:space="preserve">Vašemu smluvnímu poskytovateli </w:t>
      </w:r>
      <w:hyperlink r:id="rId7" w:history="1">
        <w:r w:rsidRPr="00637A64">
          <w:rPr>
            <w:rStyle w:val="Hypertextovodkaz"/>
            <w:rFonts w:ascii="&amp;quot" w:hAnsi="&amp;quot"/>
            <w:color w:val="C00000"/>
            <w:sz w:val="26"/>
            <w:bdr w:val="none" w:sz="0" w:space="0" w:color="auto" w:frame="1"/>
          </w:rPr>
          <w:t>pracovnělékařských služeb</w:t>
        </w:r>
      </w:hyperlink>
      <w:r w:rsidRPr="00637A64">
        <w:rPr>
          <w:rFonts w:ascii="&amp;quot" w:hAnsi="&amp;quot"/>
          <w:color w:val="666666"/>
          <w:sz w:val="26"/>
        </w:rPr>
        <w:t xml:space="preserve">, i když tohoto mít musíte. </w:t>
      </w:r>
    </w:p>
    <w:p w14:paraId="65B40018" w14:textId="77777777" w:rsidR="00637A64" w:rsidRDefault="00637A64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</w:p>
    <w:p w14:paraId="0E83A1C6" w14:textId="38B3D30A" w:rsidR="00111883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r w:rsidRPr="00637A64">
        <w:rPr>
          <w:rFonts w:ascii="&amp;quot" w:hAnsi="&amp;quot"/>
          <w:color w:val="666666"/>
          <w:sz w:val="26"/>
        </w:rPr>
        <w:t>Víte ale, kdy může zaměstnanec na lékařskou prohlídku ke svému lékaři?</w:t>
      </w:r>
    </w:p>
    <w:p w14:paraId="6AE1D8CE" w14:textId="77777777" w:rsidR="00111883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r w:rsidRPr="00637A64">
        <w:rPr>
          <w:rFonts w:ascii="&amp;quot" w:hAnsi="&amp;quot"/>
          <w:b/>
          <w:color w:val="262626" w:themeColor="text1" w:themeTint="D9"/>
          <w:sz w:val="26"/>
        </w:rPr>
        <w:t>V případě, že zaměstnanec nevykonává žádnou “rizikovou” práci</w:t>
      </w:r>
      <w:r w:rsidRPr="00637A64">
        <w:rPr>
          <w:rFonts w:ascii="&amp;quot" w:hAnsi="&amp;quot"/>
          <w:color w:val="666666"/>
          <w:sz w:val="26"/>
        </w:rPr>
        <w:t>, ale provádí, řekněme normální, obyčejnou, všeobecně známou a běžnou činnost, může jít na prohlídku ke svému registrujícímu lékaři – tj. k “obvodnímu lékaři.”</w:t>
      </w:r>
    </w:p>
    <w:p w14:paraId="1E060F60" w14:textId="77777777" w:rsidR="00637A64" w:rsidRDefault="00637A64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</w:p>
    <w:p w14:paraId="754759A8" w14:textId="7055936F" w:rsidR="00111883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r w:rsidRPr="00637A64">
        <w:rPr>
          <w:rFonts w:ascii="&amp;quot" w:hAnsi="&amp;quot"/>
          <w:color w:val="666666"/>
          <w:sz w:val="26"/>
        </w:rPr>
        <w:t>Zákon přitom tyto “bezpečné” práce jasně definuje, tedy spíše definuje práce, které tak úplně bezpečné nejsou.</w:t>
      </w:r>
    </w:p>
    <w:p w14:paraId="4D4787ED" w14:textId="77777777" w:rsidR="00111883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r w:rsidRPr="00637A64">
        <w:rPr>
          <w:rFonts w:ascii="&amp;quot" w:hAnsi="&amp;quot"/>
          <w:color w:val="666666"/>
          <w:sz w:val="26"/>
        </w:rPr>
        <w:t> </w:t>
      </w:r>
    </w:p>
    <w:p w14:paraId="4C367FB7" w14:textId="77777777" w:rsidR="00111883" w:rsidRPr="00637A64" w:rsidRDefault="00111883" w:rsidP="00637A64">
      <w:pPr>
        <w:pStyle w:val="Nadpis2"/>
        <w:pBdr>
          <w:bottom w:val="single" w:sz="12" w:space="1" w:color="auto"/>
        </w:pBd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Cs w:val="0"/>
          <w:color w:val="333333"/>
          <w:sz w:val="32"/>
          <w:szCs w:val="51"/>
        </w:rPr>
      </w:pPr>
      <w:r w:rsidRPr="00637A64">
        <w:rPr>
          <w:rFonts w:asciiTheme="minorHAnsi" w:hAnsiTheme="minorHAnsi" w:cstheme="minorHAnsi"/>
          <w:bCs w:val="0"/>
          <w:color w:val="333333"/>
          <w:sz w:val="32"/>
          <w:szCs w:val="51"/>
        </w:rPr>
        <w:t>Podmínky, které musí být splněny…</w:t>
      </w:r>
    </w:p>
    <w:p w14:paraId="6F2AB75E" w14:textId="77777777" w:rsidR="00637A64" w:rsidRDefault="00637A64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</w:p>
    <w:p w14:paraId="61CE698B" w14:textId="46CE3096" w:rsidR="00111883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r w:rsidRPr="00637A64">
        <w:rPr>
          <w:rFonts w:ascii="&amp;quot" w:hAnsi="&amp;quot"/>
          <w:color w:val="666666"/>
          <w:sz w:val="26"/>
        </w:rPr>
        <w:t>Aby zaměstnanec mohl na lékařskou prohlídku ke svému registrujícímu lékaři,</w:t>
      </w:r>
      <w:r w:rsidR="00637A64" w:rsidRPr="00637A64">
        <w:rPr>
          <w:rFonts w:ascii="&amp;quot" w:hAnsi="&amp;quot"/>
          <w:color w:val="666666"/>
          <w:sz w:val="26"/>
        </w:rPr>
        <w:t xml:space="preserve"> </w:t>
      </w:r>
      <w:r w:rsidRPr="00637A64">
        <w:rPr>
          <w:rFonts w:ascii="&amp;quot" w:hAnsi="&amp;quot"/>
          <w:color w:val="666666"/>
          <w:sz w:val="26"/>
        </w:rPr>
        <w:t>musí být splněny níže uvedené dvě podmínky:</w:t>
      </w:r>
    </w:p>
    <w:p w14:paraId="46857C36" w14:textId="77777777" w:rsidR="00637A64" w:rsidRPr="00637A64" w:rsidRDefault="00637A64" w:rsidP="00637A64">
      <w:pPr>
        <w:shd w:val="clear" w:color="auto" w:fill="D9D9D9" w:themeFill="background1" w:themeFillShade="D9"/>
        <w:spacing w:before="192" w:after="0" w:line="276" w:lineRule="auto"/>
        <w:ind w:left="216"/>
        <w:textAlignment w:val="baseline"/>
        <w:rPr>
          <w:rFonts w:ascii="&amp;quot" w:hAnsi="&amp;quot"/>
          <w:b/>
          <w:color w:val="FF0000"/>
          <w:sz w:val="26"/>
        </w:rPr>
      </w:pPr>
    </w:p>
    <w:p w14:paraId="46B3E013" w14:textId="05B7A7B8" w:rsidR="00111883" w:rsidRPr="00637A64" w:rsidRDefault="00111883" w:rsidP="00637A64">
      <w:pPr>
        <w:numPr>
          <w:ilvl w:val="0"/>
          <w:numId w:val="1"/>
        </w:numPr>
        <w:shd w:val="clear" w:color="auto" w:fill="D9D9D9" w:themeFill="background1" w:themeFillShade="D9"/>
        <w:spacing w:after="0" w:line="276" w:lineRule="auto"/>
        <w:ind w:left="576"/>
        <w:textAlignment w:val="baseline"/>
        <w:rPr>
          <w:rFonts w:ascii="&amp;quot" w:hAnsi="&amp;quot"/>
          <w:b/>
          <w:color w:val="FF0000"/>
          <w:sz w:val="26"/>
        </w:rPr>
      </w:pPr>
      <w:r w:rsidRPr="00637A64">
        <w:rPr>
          <w:rFonts w:ascii="&amp;quot" w:hAnsi="&amp;quot"/>
          <w:b/>
          <w:color w:val="000000" w:themeColor="text1"/>
          <w:sz w:val="26"/>
        </w:rPr>
        <w:t>Práce musí být zařazena výlučně do kategorie 1;</w:t>
      </w:r>
    </w:p>
    <w:p w14:paraId="71AA0493" w14:textId="77777777" w:rsidR="00637A64" w:rsidRPr="00637A64" w:rsidRDefault="00637A64" w:rsidP="00637A64">
      <w:pPr>
        <w:shd w:val="clear" w:color="auto" w:fill="D9D9D9" w:themeFill="background1" w:themeFillShade="D9"/>
        <w:spacing w:after="0" w:line="276" w:lineRule="auto"/>
        <w:ind w:left="216"/>
        <w:textAlignment w:val="baseline"/>
        <w:rPr>
          <w:rFonts w:ascii="&amp;quot" w:hAnsi="&amp;quot"/>
          <w:b/>
          <w:color w:val="FF0000"/>
          <w:sz w:val="26"/>
        </w:rPr>
      </w:pPr>
    </w:p>
    <w:p w14:paraId="7DA805ED" w14:textId="227E673A" w:rsidR="00111883" w:rsidRDefault="00111883" w:rsidP="00637A64">
      <w:pPr>
        <w:numPr>
          <w:ilvl w:val="0"/>
          <w:numId w:val="1"/>
        </w:numPr>
        <w:shd w:val="clear" w:color="auto" w:fill="D9D9D9" w:themeFill="background1" w:themeFillShade="D9"/>
        <w:spacing w:after="0" w:line="276" w:lineRule="auto"/>
        <w:ind w:left="572" w:hanging="357"/>
        <w:textAlignment w:val="baseline"/>
        <w:rPr>
          <w:rFonts w:ascii="&amp;quot" w:hAnsi="&amp;quot"/>
          <w:b/>
          <w:color w:val="FF0000"/>
          <w:sz w:val="26"/>
        </w:rPr>
      </w:pPr>
      <w:r w:rsidRPr="00637A64">
        <w:rPr>
          <w:rFonts w:ascii="&amp;quot" w:hAnsi="&amp;quot"/>
          <w:b/>
          <w:color w:val="FF0000"/>
          <w:sz w:val="26"/>
        </w:rPr>
        <w:t xml:space="preserve">Součástí práce nesmí být činnost, pro jejíž výkon jsou podmínky zdravotní způsobilosti stanoveny </w:t>
      </w:r>
      <w:hyperlink r:id="rId8" w:tgtFrame="_blank" w:history="1">
        <w:r w:rsidRPr="00637A64">
          <w:rPr>
            <w:rStyle w:val="Hypertextovodkaz"/>
            <w:rFonts w:ascii="&amp;quot" w:hAnsi="&amp;quot"/>
            <w:b/>
            <w:color w:val="FF0000"/>
            <w:sz w:val="26"/>
            <w:bdr w:val="none" w:sz="0" w:space="0" w:color="auto" w:frame="1"/>
          </w:rPr>
          <w:t>vyhláškou č. 79/2013 Sb.,</w:t>
        </w:r>
      </w:hyperlink>
      <w:r w:rsidRPr="00637A64">
        <w:rPr>
          <w:rFonts w:ascii="&amp;quot" w:hAnsi="&amp;quot"/>
          <w:b/>
          <w:color w:val="FF0000"/>
          <w:sz w:val="26"/>
        </w:rPr>
        <w:t xml:space="preserve"> nebo jinými právními předpisy.</w:t>
      </w:r>
    </w:p>
    <w:p w14:paraId="664ADE3B" w14:textId="77777777" w:rsidR="00637A64" w:rsidRPr="00637A64" w:rsidRDefault="00637A64" w:rsidP="00637A64">
      <w:pPr>
        <w:shd w:val="clear" w:color="auto" w:fill="D9D9D9" w:themeFill="background1" w:themeFillShade="D9"/>
        <w:spacing w:after="0" w:line="276" w:lineRule="auto"/>
        <w:ind w:left="216"/>
        <w:textAlignment w:val="baseline"/>
        <w:rPr>
          <w:rFonts w:ascii="&amp;quot" w:hAnsi="&amp;quot"/>
          <w:b/>
          <w:color w:val="FF0000"/>
          <w:sz w:val="26"/>
        </w:rPr>
      </w:pPr>
    </w:p>
    <w:p w14:paraId="3AFEE6E7" w14:textId="77777777" w:rsidR="006A0479" w:rsidRPr="00637A64" w:rsidRDefault="006A0479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</w:p>
    <w:p w14:paraId="35C555E6" w14:textId="77777777" w:rsidR="00637A64" w:rsidRDefault="00637A64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b/>
          <w:color w:val="666666"/>
          <w:sz w:val="26"/>
        </w:rPr>
      </w:pPr>
    </w:p>
    <w:p w14:paraId="1A9C257E" w14:textId="4188BCF2" w:rsidR="00637A64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hyperlink r:id="rId9" w:history="1">
        <w:r w:rsidRPr="00637A64">
          <w:rPr>
            <w:rStyle w:val="Hypertextovodkaz"/>
            <w:rFonts w:ascii="&amp;quot" w:hAnsi="&amp;quot"/>
            <w:b/>
            <w:color w:val="C00000"/>
            <w:sz w:val="26"/>
            <w:bdr w:val="none" w:sz="0" w:space="0" w:color="auto" w:frame="1"/>
          </w:rPr>
          <w:t>Kategorie práce</w:t>
        </w:r>
      </w:hyperlink>
      <w:r w:rsidRPr="00637A64">
        <w:rPr>
          <w:rFonts w:ascii="&amp;quot" w:hAnsi="&amp;quot"/>
          <w:color w:val="666666"/>
          <w:sz w:val="26"/>
        </w:rPr>
        <w:t xml:space="preserve"> je poměrně jasná a zde asi není nad čím polemizovat. </w:t>
      </w:r>
    </w:p>
    <w:p w14:paraId="35CAD637" w14:textId="77777777" w:rsidR="00637A64" w:rsidRDefault="00637A64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</w:p>
    <w:p w14:paraId="70F2E4BE" w14:textId="698887B3" w:rsidR="00637A64" w:rsidRP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color w:val="666666"/>
          <w:sz w:val="26"/>
        </w:rPr>
      </w:pPr>
      <w:r w:rsidRPr="00637A64">
        <w:rPr>
          <w:rFonts w:ascii="&amp;quot" w:hAnsi="&amp;quot"/>
          <w:color w:val="666666"/>
          <w:sz w:val="26"/>
        </w:rPr>
        <w:t xml:space="preserve">Mnohem zajímavější je však bod 2. </w:t>
      </w:r>
    </w:p>
    <w:p w14:paraId="78F88688" w14:textId="3B5C3E61" w:rsidR="00637A64" w:rsidRDefault="00111883" w:rsidP="00637A64">
      <w:pPr>
        <w:pStyle w:val="Normlnweb"/>
        <w:spacing w:before="0" w:beforeAutospacing="0" w:after="0" w:afterAutospacing="0" w:line="276" w:lineRule="auto"/>
        <w:textAlignment w:val="baseline"/>
        <w:rPr>
          <w:rFonts w:ascii="&amp;quot" w:hAnsi="&amp;quot"/>
          <w:b/>
          <w:bCs/>
          <w:color w:val="333333"/>
          <w:sz w:val="38"/>
          <w:szCs w:val="44"/>
        </w:rPr>
      </w:pPr>
      <w:r w:rsidRPr="00637A64">
        <w:rPr>
          <w:rFonts w:ascii="&amp;quot" w:hAnsi="&amp;quot"/>
          <w:b/>
          <w:color w:val="666666"/>
          <w:sz w:val="26"/>
        </w:rPr>
        <w:t>Výčet činností, které znemožňují, aby zaměstnanec absolvoval lékařskou prohlídku u svého registrujícího lékaře</w:t>
      </w:r>
      <w:r w:rsidRPr="00637A64">
        <w:rPr>
          <w:rFonts w:ascii="&amp;quot" w:hAnsi="&amp;quot"/>
          <w:color w:val="666666"/>
          <w:sz w:val="26"/>
        </w:rPr>
        <w:t>, uvádím níže v tabulce níže</w:t>
      </w:r>
      <w:r w:rsidR="00A516C3" w:rsidRPr="00637A64">
        <w:rPr>
          <w:rFonts w:ascii="&amp;quot" w:hAnsi="&amp;quot"/>
          <w:color w:val="666666"/>
          <w:sz w:val="26"/>
        </w:rPr>
        <w:t>,</w:t>
      </w:r>
      <w:r w:rsidRPr="00637A64">
        <w:rPr>
          <w:rFonts w:ascii="&amp;quot" w:hAnsi="&amp;quot"/>
          <w:color w:val="666666"/>
          <w:sz w:val="26"/>
        </w:rPr>
        <w:t xml:space="preserve"> a to včetně period lékařských prohlídek dle těchto činností.</w:t>
      </w:r>
      <w:bookmarkStart w:id="0" w:name="_GoBack"/>
      <w:bookmarkEnd w:id="0"/>
    </w:p>
    <w:p w14:paraId="59B4111C" w14:textId="77777777" w:rsidR="00637A64" w:rsidRDefault="00637A64" w:rsidP="006A0479">
      <w:pPr>
        <w:pStyle w:val="Nadpis3"/>
        <w:spacing w:before="0" w:beforeAutospacing="0" w:after="0" w:afterAutospacing="0" w:line="435" w:lineRule="atLeast"/>
        <w:jc w:val="center"/>
        <w:textAlignment w:val="baseline"/>
        <w:rPr>
          <w:rFonts w:ascii="&amp;quot" w:hAnsi="&amp;quot"/>
          <w:b w:val="0"/>
          <w:bCs w:val="0"/>
          <w:color w:val="333333"/>
          <w:sz w:val="38"/>
          <w:szCs w:val="44"/>
        </w:rPr>
      </w:pPr>
    </w:p>
    <w:p w14:paraId="533C7100" w14:textId="714E08CA" w:rsidR="009A7627" w:rsidRDefault="00111883" w:rsidP="006A0479">
      <w:pPr>
        <w:pStyle w:val="Nadpis3"/>
        <w:spacing w:before="0" w:beforeAutospacing="0" w:after="0" w:afterAutospacing="0" w:line="435" w:lineRule="atLeast"/>
        <w:jc w:val="center"/>
        <w:textAlignment w:val="baseline"/>
        <w:rPr>
          <w:rFonts w:ascii="&amp;quot" w:hAnsi="&amp;quot"/>
          <w:b w:val="0"/>
          <w:bCs w:val="0"/>
          <w:color w:val="333333"/>
          <w:sz w:val="38"/>
          <w:szCs w:val="44"/>
        </w:rPr>
      </w:pPr>
      <w:r w:rsidRPr="006A0479">
        <w:rPr>
          <w:rFonts w:ascii="&amp;quot" w:hAnsi="&amp;quot"/>
          <w:b w:val="0"/>
          <w:bCs w:val="0"/>
          <w:color w:val="333333"/>
          <w:sz w:val="38"/>
          <w:szCs w:val="44"/>
        </w:rPr>
        <w:lastRenderedPageBreak/>
        <w:t xml:space="preserve">Činnosti, pro které NE-může zaměstnanec </w:t>
      </w:r>
    </w:p>
    <w:p w14:paraId="208DB0AB" w14:textId="77777777" w:rsidR="009A7627" w:rsidRDefault="00111883" w:rsidP="006A0479">
      <w:pPr>
        <w:pStyle w:val="Nadpis3"/>
        <w:spacing w:before="0" w:beforeAutospacing="0" w:after="0" w:afterAutospacing="0" w:line="435" w:lineRule="atLeast"/>
        <w:jc w:val="center"/>
        <w:textAlignment w:val="baseline"/>
        <w:rPr>
          <w:rFonts w:ascii="&amp;quot" w:hAnsi="&amp;quot"/>
          <w:b w:val="0"/>
          <w:bCs w:val="0"/>
          <w:color w:val="333333"/>
          <w:sz w:val="38"/>
          <w:szCs w:val="44"/>
        </w:rPr>
      </w:pPr>
      <w:r w:rsidRPr="006A0479">
        <w:rPr>
          <w:rFonts w:ascii="&amp;quot" w:hAnsi="&amp;quot"/>
          <w:b w:val="0"/>
          <w:bCs w:val="0"/>
          <w:color w:val="333333"/>
          <w:sz w:val="38"/>
          <w:szCs w:val="44"/>
        </w:rPr>
        <w:t xml:space="preserve">na lékařskou prohlídku </w:t>
      </w:r>
    </w:p>
    <w:p w14:paraId="3FBD5682" w14:textId="50C7EAF6" w:rsidR="00111883" w:rsidRPr="006A0479" w:rsidRDefault="00111883" w:rsidP="006A0479">
      <w:pPr>
        <w:pStyle w:val="Nadpis3"/>
        <w:spacing w:before="0" w:beforeAutospacing="0" w:after="0" w:afterAutospacing="0" w:line="435" w:lineRule="atLeast"/>
        <w:jc w:val="center"/>
        <w:textAlignment w:val="baseline"/>
        <w:rPr>
          <w:rFonts w:ascii="&amp;quot" w:hAnsi="&amp;quot"/>
          <w:b w:val="0"/>
          <w:bCs w:val="0"/>
          <w:color w:val="333333"/>
          <w:sz w:val="38"/>
          <w:szCs w:val="44"/>
        </w:rPr>
      </w:pPr>
      <w:r w:rsidRPr="006A0479">
        <w:rPr>
          <w:rFonts w:ascii="&amp;quot" w:hAnsi="&amp;quot"/>
          <w:b w:val="0"/>
          <w:bCs w:val="0"/>
          <w:color w:val="333333"/>
          <w:sz w:val="38"/>
          <w:szCs w:val="44"/>
        </w:rPr>
        <w:t>ke svému lékaři</w:t>
      </w:r>
    </w:p>
    <w:tbl>
      <w:tblPr>
        <w:tblW w:w="10223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111111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3"/>
        <w:gridCol w:w="565"/>
        <w:gridCol w:w="695"/>
      </w:tblGrid>
      <w:tr w:rsidR="00111883" w14:paraId="74F1B9C1" w14:textId="77777777" w:rsidTr="00111883">
        <w:trPr>
          <w:tblHeader/>
          <w:tblCellSpacing w:w="15" w:type="dxa"/>
        </w:trPr>
        <w:tc>
          <w:tcPr>
            <w:tcW w:w="7842" w:type="dxa"/>
            <w:tcBorders>
              <w:bottom w:val="single" w:sz="6" w:space="0" w:color="111111"/>
            </w:tcBorders>
            <w:shd w:val="clear" w:color="auto" w:fill="C00000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5DAC9B9B" w14:textId="77777777" w:rsidR="00111883" w:rsidRDefault="00111883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Rizika ohrožení zdraví a ostatní činnosti</w:t>
            </w:r>
          </w:p>
        </w:tc>
        <w:tc>
          <w:tcPr>
            <w:tcW w:w="1793" w:type="dxa"/>
            <w:gridSpan w:val="2"/>
            <w:tcBorders>
              <w:bottom w:val="single" w:sz="6" w:space="0" w:color="111111"/>
            </w:tcBorders>
            <w:shd w:val="clear" w:color="auto" w:fill="C00000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1DA761B" w14:textId="77777777" w:rsidR="00111883" w:rsidRDefault="0011188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Perioda prohlídky (1x za uvedený počet let)</w:t>
            </w:r>
          </w:p>
        </w:tc>
      </w:tr>
      <w:tr w:rsidR="00111883" w14:paraId="28CD7A3E" w14:textId="77777777" w:rsidTr="001118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78701A0B" w14:textId="77777777" w:rsidR="00111883" w:rsidRDefault="00111883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FA41ECA" w14:textId="77777777" w:rsidR="00111883" w:rsidRDefault="00111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Do 50 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63E22E4" w14:textId="77777777" w:rsidR="00111883" w:rsidRDefault="00111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 50 let</w:t>
            </w:r>
          </w:p>
        </w:tc>
      </w:tr>
      <w:tr w:rsidR="00111883" w14:paraId="4B2DDD0A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6DD76833" w14:textId="77777777" w:rsidR="00111883" w:rsidRDefault="00111883">
            <w:r>
              <w:t>Noční práce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BC557E5" w14:textId="77777777" w:rsidR="00111883" w:rsidRDefault="0011188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CC9F7A2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521805D8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3985A4A5" w14:textId="77777777" w:rsidR="00111883" w:rsidRDefault="00111883">
            <w:r>
              <w:t>Mladiství zaměstnanci (do 18 let)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70A29E1" w14:textId="77777777" w:rsidR="00111883" w:rsidRDefault="0011188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BF571B5" w14:textId="77777777" w:rsidR="00111883" w:rsidRDefault="00111883">
            <w:pPr>
              <w:jc w:val="center"/>
            </w:pPr>
            <w:r>
              <w:t>-</w:t>
            </w:r>
          </w:p>
        </w:tc>
      </w:tr>
      <w:tr w:rsidR="00111883" w14:paraId="6D534EF8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7EA5082E" w14:textId="77777777" w:rsidR="00111883" w:rsidRDefault="00111883">
            <w:r>
              <w:t>Práce ve školách a školských zařízeních podle školského zákona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1C37CF50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2418FA9E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4A9ADCD6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30097C8D" w14:textId="77777777" w:rsidR="00111883" w:rsidRDefault="00111883">
            <w:r>
              <w:t>Práce ve zdravotnictví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6FBFBD2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BF895E2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5D5421A3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3216E080" w14:textId="77777777" w:rsidR="00111883" w:rsidRDefault="00111883">
            <w:r>
              <w:t>Práce v zařízeních sociálních služeb včetně poskytování sociálních služeb ve vlastním sociálním prostředí osob, a práce v dalších zařízeních obdobného charakteru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2AF5169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AD30ADB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0E23195A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7F9B5F40" w14:textId="77777777" w:rsidR="00111883" w:rsidRDefault="00111883">
            <w:r>
              <w:t>Činnosti epidemiologicky závažné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6A20FD1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12457841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38534A4B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73904CF6" w14:textId="77777777" w:rsidR="00111883" w:rsidRDefault="00111883">
            <w:r>
              <w:t>Obsluha jeřábů, opraváři jeřábů, vazači jeřábových břemen, obsluha zdvihacích ramen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1E56D36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99B5D33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7FD04206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6E55E4C7" w14:textId="77777777" w:rsidR="00111883" w:rsidRDefault="00111883">
            <w:r>
              <w:t>Obsluha transportních zařízení včetně výtahů a zakladačů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03695B5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91A44D9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4AE00C4A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7381D07F" w14:textId="77777777" w:rsidR="00111883" w:rsidRDefault="00111883">
            <w:r>
              <w:lastRenderedPageBreak/>
              <w:t>Obsluha důlních těžních strojů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6287CC4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6A4742F1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6555A2CE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10444C93" w14:textId="77777777" w:rsidR="00111883" w:rsidRDefault="00111883">
            <w:r>
              <w:t>Obsluha stavebních strojů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273A6724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6938B5A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2A9835BD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2153B1FF" w14:textId="77777777" w:rsidR="00111883" w:rsidRDefault="00111883">
            <w:r>
              <w:t>Obsluha a řízení motorových a elektrických vozíků a obsluha vysokozdvižných vozíků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22E05277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12C85602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7B26F287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2C52512E" w14:textId="77777777" w:rsidR="00111883" w:rsidRDefault="00111883">
            <w:r>
              <w:t xml:space="preserve">Řízení motorových vozidel s výjimkou řidičů podle § 87 odst. (1) zákona č. 361/2000 Sb., </w:t>
            </w:r>
            <w:proofErr w:type="spellStart"/>
            <w:r>
              <w:t>úz</w:t>
            </w:r>
            <w:proofErr w:type="spellEnd"/>
            <w:r>
              <w:t>, pokud je tato činnost vykonávána jako obvyklá součást výkonu práce nebo jsou do místa výkonu práce přepravovány další osoby, pokud je práce zaměstnance zařazena do kategorie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6D010A0E" w14:textId="77777777" w:rsidR="00111883" w:rsidRDefault="0011188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BEBABB4" w14:textId="77777777" w:rsidR="00111883" w:rsidRDefault="00111883">
            <w:pPr>
              <w:jc w:val="center"/>
            </w:pPr>
            <w:r>
              <w:t>4</w:t>
            </w:r>
          </w:p>
        </w:tc>
      </w:tr>
      <w:tr w:rsidR="00111883" w14:paraId="3A85FF20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20331297" w14:textId="77777777" w:rsidR="00111883" w:rsidRDefault="00111883">
            <w:r>
              <w:t xml:space="preserve">Řízení motorových vozidel s výjimkou řidičů podle § 87 odst. (1) zákona č. 361/2000 Sb., </w:t>
            </w:r>
            <w:proofErr w:type="spellStart"/>
            <w:r>
              <w:t>úz</w:t>
            </w:r>
            <w:proofErr w:type="spellEnd"/>
            <w:r>
              <w:t>, pokud je tato činnost vykonávána jako obvyklá součást výkonu práce nebo jsou do místa výkonu práce přepravovány další osoby, pokud je práce zaměstnance zařazena do kategorie 2, 2R, 3 nebo 4.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625CF3E9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23060F4F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710AFB07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419935A8" w14:textId="77777777" w:rsidR="00111883" w:rsidRDefault="00111883">
            <w:r>
              <w:t>Obsluha řídicích center a velínů velkých energetických zdrojů včetně jaderných a chemických provozů, při jejichž havárii by mohlo dojít k ohrožení zaměstnanců či obyvatelstva a k závažným ekologickým následkům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2DAC4F5D" w14:textId="77777777" w:rsidR="00111883" w:rsidRDefault="0011188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66D7AC0" w14:textId="77777777" w:rsidR="00111883" w:rsidRDefault="00111883">
            <w:pPr>
              <w:jc w:val="center"/>
            </w:pPr>
            <w:r>
              <w:t>1</w:t>
            </w:r>
          </w:p>
        </w:tc>
      </w:tr>
      <w:tr w:rsidR="00111883" w14:paraId="3B014C78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4D4D2F3B" w14:textId="77777777" w:rsidR="00111883" w:rsidRDefault="00111883">
            <w:r>
              <w:t>Nakládání s výbušninami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2519D5A8" w14:textId="77777777" w:rsidR="00111883" w:rsidRDefault="0011188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6B266518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0948871F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3BDF7016" w14:textId="77777777" w:rsidR="00111883" w:rsidRDefault="00111883">
            <w:r>
              <w:t>Opravy tlakových nádob a kotlů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5DBC354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AE11DFE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6EAB93E5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3E746EAD" w14:textId="77777777" w:rsidR="00111883" w:rsidRDefault="00111883">
            <w:r>
              <w:t>Obsluha kotlů s výkonem alespoň jednoho kotle 50 kW a větším a kotelen se součtem jmenovitých tepelných výkonů kotlů větším než 100 kW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13C6C874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C04C94E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44FAB793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47559ADF" w14:textId="77777777" w:rsidR="00111883" w:rsidRDefault="00111883">
            <w:r>
              <w:lastRenderedPageBreak/>
              <w:t>Obsluha tlakových nádob stabilních a tlakových stanic technických plynů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A233F65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543CC1F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7FA0656B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6161550C" w14:textId="77777777" w:rsidR="00111883" w:rsidRDefault="00111883">
            <w:r>
              <w:t xml:space="preserve">Obsluha a opravy turbokompresorů, chladicích zařízení nad 40000 kcal (136360 </w:t>
            </w:r>
            <w:proofErr w:type="spellStart"/>
            <w:r>
              <w:t>kJ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6E08949C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A3A0A0C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5023DF3E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475FABC3" w14:textId="77777777" w:rsidR="00111883" w:rsidRDefault="00111883">
            <w:r>
              <w:t>Obsluha a opravy vysokonapěťových elektrických zařízení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C4D3547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901ABAC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565099DA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0B382DCF" w14:textId="77777777" w:rsidR="00111883" w:rsidRDefault="00111883">
            <w:r>
              <w:t xml:space="preserve">Práce na elektrických zařízeních podle jiného právního předpisu (vyhláška č. 50/1978 Sb., </w:t>
            </w:r>
            <w:proofErr w:type="spellStart"/>
            <w:r>
              <w:t>úz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5422157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505B07D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6475326B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6D2B365B" w14:textId="77777777" w:rsidR="00111883" w:rsidRDefault="00111883">
            <w:r>
              <w:t>Práce v hlubinných dolech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2DD12C0F" w14:textId="77777777" w:rsidR="00111883" w:rsidRDefault="0011188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C93FD9C" w14:textId="77777777" w:rsidR="00111883" w:rsidRDefault="00111883">
            <w:pPr>
              <w:jc w:val="center"/>
            </w:pPr>
            <w:r>
              <w:t>1</w:t>
            </w:r>
          </w:p>
        </w:tc>
      </w:tr>
      <w:tr w:rsidR="00111883" w14:paraId="66276C26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7F1C3086" w14:textId="77777777" w:rsidR="00111883" w:rsidRDefault="00111883">
            <w:r>
              <w:t>Práce ve výškách a nad volnou hloubkou, pokud je jiným právním přepisem stanoveno použití osobních ochranných prostředků proti pádu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77E75F8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9809D82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1E0F1AF3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116CEB8A" w14:textId="77777777" w:rsidR="00111883" w:rsidRDefault="00111883">
            <w:r>
              <w:t>Práce záchranářů s výjimkou zdravotnických záchranářů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1A94B8AB" w14:textId="77777777" w:rsidR="00111883" w:rsidRDefault="0011188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567D400D" w14:textId="77777777" w:rsidR="00111883" w:rsidRDefault="00111883">
            <w:pPr>
              <w:jc w:val="center"/>
            </w:pPr>
            <w:r>
              <w:t>1</w:t>
            </w:r>
          </w:p>
        </w:tc>
      </w:tr>
      <w:tr w:rsidR="00111883" w14:paraId="0B4D071C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4489A927" w14:textId="77777777" w:rsidR="00111883" w:rsidRDefault="00111883">
            <w:r>
              <w:t>Práce v klimaticky a epidemiologicky náročných oblastech zahraničí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02B24F1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2352158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1BD7842C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2516845B" w14:textId="77777777" w:rsidR="00111883" w:rsidRDefault="00111883">
            <w:r>
              <w:t>Hlasová zátěž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6BE05FF6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19CE5675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57A54BCC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35F65245" w14:textId="77777777" w:rsidR="00111883" w:rsidRDefault="00111883">
            <w:r>
              <w:t xml:space="preserve">Řidiči vozidel dle § 87, zákona č. 361/2000 Sb., </w:t>
            </w:r>
            <w:proofErr w:type="spellStart"/>
            <w:r>
              <w:t>úz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5BEE314" w14:textId="77777777" w:rsidR="00111883" w:rsidRDefault="0011188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71A5114" w14:textId="77777777" w:rsidR="00111883" w:rsidRDefault="00111883">
            <w:pPr>
              <w:jc w:val="center"/>
            </w:pPr>
            <w:r>
              <w:t>1</w:t>
            </w:r>
          </w:p>
        </w:tc>
      </w:tr>
      <w:tr w:rsidR="00111883" w14:paraId="7E1A37A7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7B59C1A6" w14:textId="77777777" w:rsidR="00111883" w:rsidRDefault="00111883">
            <w:r>
              <w:t>Osoba řídící drážní vozidlo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D66F6C4" w14:textId="77777777" w:rsidR="00111883" w:rsidRDefault="0011188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215819D" w14:textId="77777777" w:rsidR="00111883" w:rsidRDefault="00111883">
            <w:pPr>
              <w:jc w:val="center"/>
            </w:pPr>
            <w:r>
              <w:t>1</w:t>
            </w:r>
          </w:p>
        </w:tc>
      </w:tr>
      <w:tr w:rsidR="00111883" w14:paraId="16C688D7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4ED5F6C8" w14:textId="77777777" w:rsidR="00111883" w:rsidRDefault="00111883">
            <w:r>
              <w:lastRenderedPageBreak/>
              <w:t>Osoby vykonávající činnosti při provozování dráhy a drážní dopravy, které přímo zabezpečují obsluhu dráhy, zabezpečují nebo organizují drážní dopravu a řídí se při tom tvarovými, světelnými a zvukovými znaky a návěstmi, nebo je dávají.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1692CE7" w14:textId="77777777" w:rsidR="00111883" w:rsidRDefault="0011188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3AEC5004" w14:textId="77777777" w:rsidR="00111883" w:rsidRDefault="00111883">
            <w:pPr>
              <w:jc w:val="center"/>
            </w:pPr>
            <w:r>
              <w:t>1</w:t>
            </w:r>
          </w:p>
        </w:tc>
      </w:tr>
      <w:tr w:rsidR="00111883" w14:paraId="1132DC43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597C67D0" w14:textId="77777777" w:rsidR="00111883" w:rsidRDefault="00111883">
            <w:r>
              <w:t>Osoby, které při své pracovní činnosti vstupují bez dozoru na provozovanou dopravní cestu a nepodílejí se přímo na zabezpečení obsluhy dráhy, ani na zabezpečení nebo organizování drážní dopravy.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14A769E3" w14:textId="77777777" w:rsidR="00111883" w:rsidRDefault="0011188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7595DC57" w14:textId="77777777" w:rsidR="00111883" w:rsidRDefault="00111883">
            <w:pPr>
              <w:jc w:val="center"/>
            </w:pPr>
            <w:r>
              <w:t>2</w:t>
            </w:r>
          </w:p>
        </w:tc>
      </w:tr>
      <w:tr w:rsidR="00111883" w14:paraId="678F0546" w14:textId="77777777" w:rsidTr="001118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vAlign w:val="center"/>
            <w:hideMark/>
          </w:tcPr>
          <w:p w14:paraId="6738A41E" w14:textId="77777777" w:rsidR="00111883" w:rsidRDefault="00111883">
            <w:r>
              <w:t>Osoby, které při své pracovní činnosti provádějí revize, prohlídky a zkoušky určených technických zařízení (dráhy).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02FD126E" w14:textId="77777777" w:rsidR="00111883" w:rsidRDefault="0011188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204" w:type="dxa"/>
              <w:left w:w="139" w:type="dxa"/>
              <w:bottom w:w="204" w:type="dxa"/>
              <w:right w:w="139" w:type="dxa"/>
            </w:tcMar>
            <w:hideMark/>
          </w:tcPr>
          <w:p w14:paraId="41B8BF48" w14:textId="77777777" w:rsidR="00111883" w:rsidRDefault="00111883">
            <w:pPr>
              <w:jc w:val="center"/>
            </w:pPr>
            <w:r>
              <w:t>2</w:t>
            </w:r>
          </w:p>
        </w:tc>
      </w:tr>
    </w:tbl>
    <w:p w14:paraId="74CA3048" w14:textId="77777777" w:rsidR="00111883" w:rsidRDefault="00111883" w:rsidP="00111883">
      <w:pPr>
        <w:pStyle w:val="Normlnweb"/>
        <w:spacing w:before="0" w:beforeAutospacing="0" w:after="0" w:afterAutospacing="0"/>
        <w:textAlignment w:val="baseline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 </w:t>
      </w:r>
    </w:p>
    <w:p w14:paraId="139DC8D7" w14:textId="77777777" w:rsidR="00111883" w:rsidRPr="00111883" w:rsidRDefault="00111883" w:rsidP="00111883"/>
    <w:p w14:paraId="5DE8A9DF" w14:textId="77777777" w:rsidR="009F748F" w:rsidRDefault="009F748F"/>
    <w:sectPr w:rsidR="009F748F" w:rsidSect="00637A64">
      <w:head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934A" w14:textId="77777777" w:rsidR="00637A64" w:rsidRDefault="00637A64" w:rsidP="00637A64">
      <w:pPr>
        <w:spacing w:after="0" w:line="240" w:lineRule="auto"/>
      </w:pPr>
      <w:r>
        <w:separator/>
      </w:r>
    </w:p>
  </w:endnote>
  <w:endnote w:type="continuationSeparator" w:id="0">
    <w:p w14:paraId="4658E632" w14:textId="77777777" w:rsidR="00637A64" w:rsidRDefault="00637A64" w:rsidP="0063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6B8C8" w14:textId="77777777" w:rsidR="00637A64" w:rsidRDefault="00637A64" w:rsidP="00637A64">
      <w:pPr>
        <w:spacing w:after="0" w:line="240" w:lineRule="auto"/>
      </w:pPr>
      <w:r>
        <w:separator/>
      </w:r>
    </w:p>
  </w:footnote>
  <w:footnote w:type="continuationSeparator" w:id="0">
    <w:p w14:paraId="4B65B367" w14:textId="77777777" w:rsidR="00637A64" w:rsidRDefault="00637A64" w:rsidP="0063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25FE" w14:textId="77777777" w:rsidR="00637A64" w:rsidRDefault="00637A64" w:rsidP="00637A64">
    <w:pPr>
      <w:pStyle w:val="Zhlav"/>
      <w:jc w:val="center"/>
      <w:rPr>
        <w:i/>
      </w:rPr>
    </w:pPr>
  </w:p>
  <w:p w14:paraId="0FC060A9" w14:textId="77777777" w:rsidR="00637A64" w:rsidRDefault="00637A64" w:rsidP="00637A64">
    <w:pPr>
      <w:pStyle w:val="Zhlav"/>
      <w:jc w:val="center"/>
      <w:rPr>
        <w:i/>
      </w:rPr>
    </w:pPr>
  </w:p>
  <w:p w14:paraId="4BB02A2C" w14:textId="7C389DA5" w:rsidR="00637A64" w:rsidRDefault="00637A64" w:rsidP="00637A64">
    <w:pPr>
      <w:pStyle w:val="Zhlav"/>
      <w:jc w:val="center"/>
      <w:rPr>
        <w:i/>
      </w:rPr>
    </w:pPr>
    <w:r w:rsidRPr="00637A64">
      <w:rPr>
        <w:i/>
      </w:rPr>
      <w:t xml:space="preserve">Zdroj: </w:t>
    </w:r>
    <w:hyperlink r:id="rId1" w:history="1">
      <w:r w:rsidRPr="00D17887">
        <w:rPr>
          <w:rStyle w:val="Hypertextovodkaz"/>
          <w:i/>
        </w:rPr>
        <w:t>https://www.sawuh.cz/muze-zamestnanec-na-lekarskou-prohlidku-ke-svemu-lekari/</w:t>
      </w:r>
    </w:hyperlink>
  </w:p>
  <w:p w14:paraId="2304AFAA" w14:textId="77777777" w:rsidR="00637A64" w:rsidRPr="00637A64" w:rsidRDefault="00637A64" w:rsidP="00637A64">
    <w:pPr>
      <w:pBdr>
        <w:bottom w:val="single" w:sz="12" w:space="1" w:color="auto"/>
      </w:pBdr>
      <w:jc w:val="center"/>
      <w:rPr>
        <w:sz w:val="24"/>
      </w:rPr>
    </w:pPr>
    <w:hyperlink r:id="rId2" w:tooltip="Příspěvky od Vít Hofman" w:history="1">
      <w:r w:rsidRPr="00637A64">
        <w:rPr>
          <w:rStyle w:val="Hypertextovodkaz"/>
          <w:sz w:val="24"/>
        </w:rPr>
        <w:t>Vít Hofman</w:t>
      </w:r>
    </w:hyperlink>
    <w:r w:rsidRPr="00637A64">
      <w:rPr>
        <w:sz w:val="24"/>
      </w:rPr>
      <w:t xml:space="preserve"> | 8. 12. 2017 | </w:t>
    </w:r>
    <w:hyperlink r:id="rId3" w:history="1">
      <w:r w:rsidRPr="00637A64">
        <w:rPr>
          <w:rStyle w:val="Hypertextovodkaz"/>
          <w:sz w:val="24"/>
        </w:rPr>
        <w:t>Bezpečnost práce</w:t>
      </w:r>
    </w:hyperlink>
    <w:r w:rsidRPr="00637A64">
      <w:rPr>
        <w:sz w:val="24"/>
      </w:rPr>
      <w:t xml:space="preserve">, </w:t>
    </w:r>
    <w:hyperlink r:id="rId4" w:history="1">
      <w:r w:rsidRPr="00637A64">
        <w:rPr>
          <w:rStyle w:val="Hypertextovodkaz"/>
          <w:sz w:val="24"/>
        </w:rPr>
        <w:t>Lékařské služby</w:t>
      </w:r>
    </w:hyperlink>
  </w:p>
  <w:p w14:paraId="3844287C" w14:textId="77777777" w:rsidR="00637A64" w:rsidRPr="00637A64" w:rsidRDefault="00637A64" w:rsidP="00637A64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77A54"/>
    <w:multiLevelType w:val="multilevel"/>
    <w:tmpl w:val="8C20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93"/>
    <w:rsid w:val="0000509D"/>
    <w:rsid w:val="00111883"/>
    <w:rsid w:val="00637A64"/>
    <w:rsid w:val="006A0479"/>
    <w:rsid w:val="00715914"/>
    <w:rsid w:val="0074085E"/>
    <w:rsid w:val="009A7627"/>
    <w:rsid w:val="009F748F"/>
    <w:rsid w:val="00A516C3"/>
    <w:rsid w:val="00C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5F994F"/>
  <w15:chartTrackingRefBased/>
  <w15:docId w15:val="{7F5F1C60-C6C8-4557-AFE0-21330FDB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1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11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8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118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118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1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A64"/>
  </w:style>
  <w:style w:type="paragraph" w:styleId="Zpat">
    <w:name w:val="footer"/>
    <w:basedOn w:val="Normln"/>
    <w:link w:val="ZpatChar"/>
    <w:uiPriority w:val="99"/>
    <w:unhideWhenUsed/>
    <w:rsid w:val="0063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3-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wuh.cz/lekarske-prohlidky-zamestnanc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wuh.cz/kategorizace-praci-v-bezpecnosti-prac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wuh.cz/category/bezpecnost-prace/" TargetMode="External"/><Relationship Id="rId2" Type="http://schemas.openxmlformats.org/officeDocument/2006/relationships/hyperlink" Target="https://www.sawuh.cz/author/adminsaw/" TargetMode="External"/><Relationship Id="rId1" Type="http://schemas.openxmlformats.org/officeDocument/2006/relationships/hyperlink" Target="https://www.sawuh.cz/muze-zamestnanec-na-lekarskou-prohlidku-ke-svemu-lekari/" TargetMode="External"/><Relationship Id="rId4" Type="http://schemas.openxmlformats.org/officeDocument/2006/relationships/hyperlink" Target="https://www.sawuh.cz/category/bezpecnost-prace/lekarske-sluzb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Talacková</dc:creator>
  <cp:keywords/>
  <dc:description/>
  <cp:lastModifiedBy>Lucie Talacková</cp:lastModifiedBy>
  <cp:revision>2</cp:revision>
  <dcterms:created xsi:type="dcterms:W3CDTF">2018-09-10T18:22:00Z</dcterms:created>
  <dcterms:modified xsi:type="dcterms:W3CDTF">2018-09-10T18:22:00Z</dcterms:modified>
</cp:coreProperties>
</file>